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4A6D2F">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4A6D2F">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31D18DC1" w:rsidR="00F445B1" w:rsidRPr="00975241" w:rsidRDefault="00DD270C" w:rsidP="00207197">
            <w:r>
              <w:rPr>
                <w:rStyle w:val="Firstpagetablebold"/>
              </w:rPr>
              <w:t>19 October</w:t>
            </w:r>
            <w:r w:rsidR="00207197">
              <w:rPr>
                <w:rStyle w:val="Firstpagetablebold"/>
              </w:rPr>
              <w:t xml:space="preserve"> </w:t>
            </w:r>
            <w:r w:rsidR="00340D9D">
              <w:rPr>
                <w:rStyle w:val="Firstpagetablebold"/>
              </w:rPr>
              <w:t>20</w:t>
            </w:r>
            <w:r w:rsidR="00982640">
              <w:rPr>
                <w:rStyle w:val="Firstpagetablebold"/>
              </w:rPr>
              <w:t>22</w:t>
            </w:r>
          </w:p>
        </w:tc>
      </w:tr>
      <w:tr w:rsidR="00CE544A" w:rsidRPr="00975B07" w14:paraId="6D337551" w14:textId="77777777" w:rsidTr="005F7F7E">
        <w:tc>
          <w:tcPr>
            <w:tcW w:w="2438" w:type="dxa"/>
            <w:shd w:val="clear" w:color="auto" w:fill="auto"/>
          </w:tcPr>
          <w:p w14:paraId="4DD62EE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4A6D2F">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F91DC3D" w14:textId="6B94A1FD" w:rsidR="00F445B1" w:rsidRPr="00664FDE" w:rsidRDefault="00DD270C" w:rsidP="004A7698">
            <w:pPr>
              <w:autoSpaceDE w:val="0"/>
              <w:autoSpaceDN w:val="0"/>
              <w:adjustRightInd w:val="0"/>
              <w:spacing w:after="0"/>
              <w:rPr>
                <w:rStyle w:val="Firstpagetablebold"/>
              </w:rPr>
            </w:pPr>
            <w:r>
              <w:rPr>
                <w:b/>
              </w:rPr>
              <w:t xml:space="preserve">Development Brief for </w:t>
            </w:r>
            <w:proofErr w:type="spellStart"/>
            <w:r>
              <w:rPr>
                <w:b/>
              </w:rPr>
              <w:t>Botley</w:t>
            </w:r>
            <w:proofErr w:type="spellEnd"/>
            <w:r>
              <w:rPr>
                <w:b/>
              </w:rPr>
              <w:t xml:space="preserve"> Road Retail Park</w:t>
            </w:r>
          </w:p>
        </w:tc>
      </w:tr>
    </w:tbl>
    <w:p w14:paraId="638769F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745BF0">
            <w:pPr>
              <w:jc w:val="cente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207197">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pPr>
              <w:rPr>
                <w:rStyle w:val="Firstpagetablebold"/>
                <w:rFonts w:cs="Arial"/>
              </w:rPr>
            </w:pPr>
            <w:r w:rsidRPr="00694F86">
              <w:rPr>
                <w:rStyle w:val="Firstpagetablebold"/>
                <w:rFonts w:cs="Arial"/>
              </w:rPr>
              <w:t>Key decision:</w:t>
            </w:r>
          </w:p>
          <w:p w14:paraId="2D85AB27" w14:textId="7D73EE44" w:rsidR="001D14DE" w:rsidRPr="00694F86" w:rsidRDefault="001D14DE" w:rsidP="00E821EA">
            <w:pPr>
              <w:rPr>
                <w:rStyle w:val="Firstpagetablebold"/>
                <w:rFonts w:cs="Arial"/>
              </w:rPr>
            </w:pPr>
            <w:r w:rsidRPr="00694F86">
              <w:rPr>
                <w:rStyle w:val="Firstpagetablebold"/>
                <w:rFonts w:cs="Arial"/>
              </w:rPr>
              <w:t xml:space="preserve">Scrutiny </w:t>
            </w:r>
            <w:r w:rsidR="00E821EA">
              <w:rPr>
                <w:rStyle w:val="Firstpagetablebold"/>
                <w:rFonts w:cs="Arial"/>
              </w:rPr>
              <w:t>Chair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F7F7E">
            <w:pPr>
              <w:rPr>
                <w:rFonts w:cs="Arial"/>
              </w:rPr>
            </w:pPr>
            <w:r w:rsidRPr="00694F86">
              <w:rPr>
                <w:rFonts w:cs="Arial"/>
              </w:rPr>
              <w:t>No</w:t>
            </w:r>
          </w:p>
          <w:p w14:paraId="39172FAB" w14:textId="078DA0E0" w:rsidR="001D14DE" w:rsidRPr="00694F86" w:rsidRDefault="00E821EA" w:rsidP="000167B9">
            <w:pPr>
              <w:rPr>
                <w:rFonts w:cs="Arial"/>
              </w:rPr>
            </w:pPr>
            <w:r>
              <w:rPr>
                <w:rFonts w:cs="Arial"/>
              </w:rPr>
              <w:t xml:space="preserve">Councillor Chris </w:t>
            </w:r>
            <w:proofErr w:type="spellStart"/>
            <w:r>
              <w:rPr>
                <w:rFonts w:cs="Arial"/>
              </w:rPr>
              <w:t>Smowton</w:t>
            </w:r>
            <w:proofErr w:type="spellEnd"/>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4D54660B" w14:textId="290F485B" w:rsidR="00E821EA" w:rsidRPr="00694F86" w:rsidRDefault="00DD270C" w:rsidP="00C8218C">
            <w:pPr>
              <w:spacing w:after="0"/>
              <w:rPr>
                <w:rFonts w:cs="Arial"/>
                <w:color w:val="auto"/>
              </w:rPr>
            </w:pPr>
            <w:r>
              <w:rPr>
                <w:rFonts w:cs="Arial"/>
                <w:color w:val="auto"/>
              </w:rPr>
              <w:t>Councillor Alex Hollingsworth, Cabinet member for Planning and Housing Delivery</w:t>
            </w:r>
          </w:p>
        </w:tc>
      </w:tr>
      <w:tr w:rsidR="0080749A" w14:paraId="5A64E3E3" w14:textId="77777777" w:rsidTr="0080749A">
        <w:tc>
          <w:tcPr>
            <w:tcW w:w="2438" w:type="dxa"/>
            <w:tcBorders>
              <w:top w:val="nil"/>
              <w:left w:val="single" w:sz="8" w:space="0" w:color="000000"/>
              <w:bottom w:val="nil"/>
              <w:right w:val="nil"/>
            </w:tcBorders>
          </w:tcPr>
          <w:p w14:paraId="390223B7" w14:textId="2A41A51C" w:rsidR="0080749A" w:rsidRPr="00694F86" w:rsidRDefault="0080749A">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47DDA116" w:rsidR="00347767" w:rsidRPr="00694F86" w:rsidRDefault="00DD270C" w:rsidP="007C6B5C">
            <w:pPr>
              <w:autoSpaceDE w:val="0"/>
              <w:autoSpaceDN w:val="0"/>
              <w:adjustRightInd w:val="0"/>
              <w:spacing w:after="0"/>
              <w:rPr>
                <w:rFonts w:cs="Arial"/>
                <w:color w:val="auto"/>
              </w:rPr>
            </w:pPr>
            <w:r>
              <w:rPr>
                <w:rFonts w:cs="Arial"/>
                <w:color w:val="auto"/>
              </w:rPr>
              <w:t>Support Thriving Communities; Foster an Inclusive Economy; Pursue a Zero Carbon Oxford</w:t>
            </w:r>
          </w:p>
          <w:p w14:paraId="63980782" w14:textId="77777777" w:rsidR="00347767" w:rsidRPr="00694F86" w:rsidRDefault="00347767" w:rsidP="00207197">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0FB37829" w:rsidR="00D5547E" w:rsidRPr="00B40248" w:rsidRDefault="00DD270C" w:rsidP="008F3A4D">
            <w:pPr>
              <w:rPr>
                <w:rFonts w:cs="Arial"/>
                <w:color w:val="auto"/>
              </w:rPr>
            </w:pPr>
            <w:r>
              <w:rPr>
                <w:rFonts w:cs="Arial"/>
              </w:rPr>
              <w:t>Oxford Local Plan 2036 and evidence base for the preparation of the Oxford Local Plan 2040</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207197">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431D1A"/>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9393C">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26036A">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26036A">
            <w:r w:rsidRPr="00C9393C">
              <w:t>Draft Cabinet response to recommendations of the Scrutiny Committee</w:t>
            </w:r>
          </w:p>
        </w:tc>
      </w:tr>
    </w:tbl>
    <w:p w14:paraId="6DDB9406" w14:textId="77777777" w:rsidR="00C9393C" w:rsidRPr="00431D1A" w:rsidRDefault="00C9393C" w:rsidP="00431D1A"/>
    <w:p w14:paraId="1BCAAC68" w14:textId="77777777" w:rsidR="0040736F" w:rsidRPr="001356F1" w:rsidRDefault="00F66DCA" w:rsidP="007F4787">
      <w:pPr>
        <w:pStyle w:val="Heading1"/>
        <w:spacing w:before="0"/>
        <w:contextualSpacing/>
      </w:pPr>
      <w:r w:rsidRPr="001356F1">
        <w:t xml:space="preserve">Introduction and </w:t>
      </w:r>
      <w:r w:rsidR="000A2D16">
        <w:t>overview</w:t>
      </w:r>
    </w:p>
    <w:p w14:paraId="724F989B" w14:textId="63E050C6" w:rsidR="00DF6CA7" w:rsidRPr="00D16056" w:rsidRDefault="00347767" w:rsidP="00DA2517">
      <w:pPr>
        <w:pStyle w:val="ListParagraph"/>
        <w:numPr>
          <w:ilvl w:val="0"/>
          <w:numId w:val="15"/>
        </w:numPr>
        <w:spacing w:after="0"/>
        <w:jc w:val="both"/>
        <w:rPr>
          <w:rFonts w:ascii="Arial-BoldMT" w:hAnsi="Arial-BoldMT" w:cs="Arial-BoldMT"/>
          <w:bCs/>
          <w:color w:val="auto"/>
        </w:rPr>
      </w:pPr>
      <w:r w:rsidRPr="00207197">
        <w:t xml:space="preserve">The </w:t>
      </w:r>
      <w:r w:rsidR="00207197" w:rsidRPr="00207197">
        <w:t xml:space="preserve">Scrutiny Committee met on </w:t>
      </w:r>
      <w:r w:rsidR="00DD270C">
        <w:t xml:space="preserve">11 </w:t>
      </w:r>
      <w:r w:rsidR="00F95D29">
        <w:t>October</w:t>
      </w:r>
      <w:r w:rsidR="00151D7B">
        <w:t xml:space="preserve"> 2022</w:t>
      </w:r>
      <w:r w:rsidR="00207197" w:rsidRPr="00207197">
        <w:t xml:space="preserve"> to c</w:t>
      </w:r>
      <w:r w:rsidR="00151D7B">
        <w:t xml:space="preserve">onsider a report </w:t>
      </w:r>
      <w:r w:rsidR="00D66704">
        <w:t xml:space="preserve">on the </w:t>
      </w:r>
      <w:r w:rsidR="00DD270C">
        <w:t xml:space="preserve">Development Brief for </w:t>
      </w:r>
      <w:proofErr w:type="spellStart"/>
      <w:r w:rsidR="00DD270C">
        <w:t>Botley</w:t>
      </w:r>
      <w:proofErr w:type="spellEnd"/>
      <w:r w:rsidR="00DD270C">
        <w:t xml:space="preserve"> Road Retail Park</w:t>
      </w:r>
      <w:r w:rsidR="00151D7B">
        <w:t>.</w:t>
      </w:r>
      <w:r w:rsidR="00207197">
        <w:t xml:space="preserve"> The report, which is due for Cabinet consideration on </w:t>
      </w:r>
      <w:r w:rsidR="00F95D29">
        <w:t>19 October</w:t>
      </w:r>
      <w:r w:rsidR="00151D7B">
        <w:t xml:space="preserve"> 2022</w:t>
      </w:r>
      <w:r w:rsidR="00207197">
        <w:t>, recommends that</w:t>
      </w:r>
      <w:r w:rsidR="00207197" w:rsidRPr="00207197">
        <w:t xml:space="preserve"> </w:t>
      </w:r>
      <w:r w:rsidR="00D16056">
        <w:t>Cabinet endorses the development brief</w:t>
      </w:r>
      <w:r w:rsidR="00F95D29">
        <w:t>.</w:t>
      </w:r>
    </w:p>
    <w:p w14:paraId="729E68C4" w14:textId="77777777" w:rsidR="00DF6CA7" w:rsidRPr="00DF6CA7" w:rsidRDefault="00DF6CA7" w:rsidP="00DF6CA7">
      <w:pPr>
        <w:pStyle w:val="ListParagraph"/>
        <w:numPr>
          <w:ilvl w:val="0"/>
          <w:numId w:val="0"/>
        </w:numPr>
        <w:spacing w:after="0"/>
        <w:ind w:left="426"/>
        <w:jc w:val="both"/>
        <w:rPr>
          <w:rFonts w:ascii="Arial-BoldMT" w:hAnsi="Arial-BoldMT" w:cs="Arial-BoldMT"/>
          <w:bCs/>
          <w:color w:val="auto"/>
        </w:rPr>
      </w:pPr>
    </w:p>
    <w:p w14:paraId="42262E26" w14:textId="77777777" w:rsidR="00431D1A" w:rsidRDefault="00665CCE" w:rsidP="00431D1A">
      <w:pPr>
        <w:pStyle w:val="Heading1"/>
        <w:spacing w:after="0"/>
        <w:rPr>
          <w:color w:val="auto"/>
        </w:rPr>
      </w:pPr>
      <w:r>
        <w:rPr>
          <w:color w:val="auto"/>
        </w:rPr>
        <w:t>Summary and recommendation</w:t>
      </w:r>
      <w:r w:rsidR="008D7B7C">
        <w:rPr>
          <w:color w:val="auto"/>
        </w:rPr>
        <w:t>s</w:t>
      </w:r>
    </w:p>
    <w:p w14:paraId="4DC546E3" w14:textId="77777777" w:rsidR="00DB0CC8" w:rsidRPr="00DB0CC8" w:rsidRDefault="00DB0CC8" w:rsidP="00DB0CC8">
      <w:pPr>
        <w:spacing w:after="0"/>
        <w:ind w:left="1146"/>
        <w:rPr>
          <w:rFonts w:ascii="Arial-BoldMT" w:hAnsi="Arial-BoldMT" w:cs="Arial-BoldMT"/>
          <w:bCs/>
          <w:color w:val="auto"/>
        </w:rPr>
      </w:pPr>
    </w:p>
    <w:p w14:paraId="243D5F90" w14:textId="0C419469" w:rsidR="00091019" w:rsidRDefault="00D16056" w:rsidP="00DA2517">
      <w:pPr>
        <w:pStyle w:val="ListParagraph"/>
        <w:numPr>
          <w:ilvl w:val="0"/>
          <w:numId w:val="15"/>
        </w:numPr>
        <w:spacing w:after="0"/>
        <w:jc w:val="both"/>
      </w:pPr>
      <w:r>
        <w:rPr>
          <w:rFonts w:ascii="Arial-BoldMT" w:hAnsi="Arial-BoldMT" w:cs="Arial-BoldMT"/>
          <w:bCs/>
          <w:color w:val="auto"/>
        </w:rPr>
        <w:t>Councillor Alex Hollingsworth</w:t>
      </w:r>
      <w:r w:rsidR="00F95D29">
        <w:rPr>
          <w:rFonts w:ascii="Arial-BoldMT" w:hAnsi="Arial-BoldMT" w:cs="Arial-BoldMT"/>
          <w:bCs/>
          <w:color w:val="auto"/>
        </w:rPr>
        <w:t xml:space="preserve">, Cabinet member for </w:t>
      </w:r>
      <w:r>
        <w:rPr>
          <w:rFonts w:ascii="Arial-BoldMT" w:hAnsi="Arial-BoldMT" w:cs="Arial-BoldMT"/>
          <w:bCs/>
          <w:color w:val="auto"/>
        </w:rPr>
        <w:t>Planning and Housing Delivery</w:t>
      </w:r>
      <w:r w:rsidR="00F95D29">
        <w:rPr>
          <w:rFonts w:ascii="Arial-BoldMT" w:hAnsi="Arial-BoldMT" w:cs="Arial-BoldMT"/>
          <w:bCs/>
          <w:color w:val="auto"/>
        </w:rPr>
        <w:t>,</w:t>
      </w:r>
      <w:r w:rsidR="00556176">
        <w:t xml:space="preserve"> </w:t>
      </w:r>
      <w:r w:rsidR="00CD281A">
        <w:t xml:space="preserve">introduced the report. </w:t>
      </w:r>
      <w:r w:rsidR="00091019">
        <w:t xml:space="preserve"> </w:t>
      </w:r>
      <w:r>
        <w:t>Cllr Hollingsworth emphas</w:t>
      </w:r>
      <w:r w:rsidR="004F7608">
        <w:t>ised that a development brief was</w:t>
      </w:r>
      <w:r>
        <w:t xml:space="preserve"> not a scheme and explained </w:t>
      </w:r>
      <w:r w:rsidR="004F7608">
        <w:t>that the purpose of such a development brief was to provide guidance to those who sought to bring forward development of the site and other interested parties</w:t>
      </w:r>
      <w:r w:rsidR="00F95D29">
        <w:t>.</w:t>
      </w:r>
    </w:p>
    <w:p w14:paraId="6187DCC5" w14:textId="77777777" w:rsidR="000167B9" w:rsidRDefault="000167B9" w:rsidP="000167B9">
      <w:pPr>
        <w:pStyle w:val="ListParagraph"/>
        <w:numPr>
          <w:ilvl w:val="0"/>
          <w:numId w:val="0"/>
        </w:numPr>
        <w:spacing w:after="0"/>
        <w:ind w:left="360"/>
        <w:jc w:val="both"/>
      </w:pPr>
    </w:p>
    <w:p w14:paraId="342D5A04" w14:textId="379FD872" w:rsidR="00091019" w:rsidRPr="000167B9" w:rsidRDefault="00D16056" w:rsidP="00DA2517">
      <w:pPr>
        <w:pStyle w:val="ListParagraph"/>
        <w:numPr>
          <w:ilvl w:val="0"/>
          <w:numId w:val="15"/>
        </w:numPr>
        <w:spacing w:after="0"/>
        <w:jc w:val="both"/>
        <w:rPr>
          <w:b/>
        </w:rPr>
      </w:pPr>
      <w:r>
        <w:rPr>
          <w:rFonts w:ascii="Arial-BoldMT" w:hAnsi="Arial-BoldMT" w:cs="Arial-BoldMT"/>
          <w:bCs/>
          <w:color w:val="auto"/>
        </w:rPr>
        <w:t xml:space="preserve">Arome </w:t>
      </w:r>
      <w:proofErr w:type="spellStart"/>
      <w:r>
        <w:rPr>
          <w:rFonts w:ascii="Arial-BoldMT" w:hAnsi="Arial-BoldMT" w:cs="Arial-BoldMT"/>
          <w:bCs/>
          <w:color w:val="auto"/>
        </w:rPr>
        <w:t>Agamah</w:t>
      </w:r>
      <w:proofErr w:type="spellEnd"/>
      <w:r>
        <w:rPr>
          <w:rFonts w:ascii="Arial-BoldMT" w:hAnsi="Arial-BoldMT" w:cs="Arial-BoldMT"/>
          <w:bCs/>
          <w:color w:val="auto"/>
        </w:rPr>
        <w:t xml:space="preserve">, Senior Planner, and Amanda Ford, </w:t>
      </w:r>
      <w:r w:rsidR="007753F6">
        <w:rPr>
          <w:rFonts w:ascii="Arial-BoldMT" w:hAnsi="Arial-BoldMT" w:cs="Arial-BoldMT"/>
          <w:bCs/>
          <w:color w:val="auto"/>
        </w:rPr>
        <w:t>Team Leader Planning Policy</w:t>
      </w:r>
      <w:bookmarkStart w:id="0" w:name="_GoBack"/>
      <w:bookmarkEnd w:id="0"/>
      <w:r>
        <w:rPr>
          <w:rFonts w:ascii="Arial-BoldMT" w:hAnsi="Arial-BoldMT" w:cs="Arial-BoldMT"/>
          <w:bCs/>
          <w:color w:val="auto"/>
        </w:rPr>
        <w:t>,</w:t>
      </w:r>
      <w:r w:rsidR="004F7608">
        <w:rPr>
          <w:rFonts w:ascii="Arial-BoldMT" w:hAnsi="Arial-BoldMT" w:cs="Arial-BoldMT"/>
          <w:bCs/>
          <w:color w:val="auto"/>
        </w:rPr>
        <w:t xml:space="preserve"> also answered the Committee’s questions.</w:t>
      </w:r>
    </w:p>
    <w:p w14:paraId="4AE32D3C" w14:textId="77777777" w:rsidR="000167B9" w:rsidRPr="000167B9" w:rsidRDefault="000167B9" w:rsidP="000167B9">
      <w:pPr>
        <w:pStyle w:val="ListParagraph"/>
        <w:numPr>
          <w:ilvl w:val="0"/>
          <w:numId w:val="0"/>
        </w:numPr>
        <w:ind w:left="360"/>
        <w:rPr>
          <w:b/>
        </w:rPr>
      </w:pPr>
    </w:p>
    <w:p w14:paraId="084B3237" w14:textId="18D181AF" w:rsidR="00091019" w:rsidRPr="0037738A" w:rsidRDefault="004F7608" w:rsidP="00DA2517">
      <w:pPr>
        <w:pStyle w:val="ListParagraph"/>
        <w:numPr>
          <w:ilvl w:val="0"/>
          <w:numId w:val="15"/>
        </w:numPr>
        <w:spacing w:after="0"/>
        <w:jc w:val="both"/>
        <w:rPr>
          <w:b/>
        </w:rPr>
      </w:pPr>
      <w:r>
        <w:t xml:space="preserve">The </w:t>
      </w:r>
      <w:r w:rsidR="0037738A">
        <w:t>Committee explored why it was considered that none of the site was suitable for housing and heard that it was because of a lack of safe entrance and egress as a result of flood risk</w:t>
      </w:r>
      <w:r w:rsidR="00B311A7">
        <w:t>.</w:t>
      </w:r>
      <w:r w:rsidR="0037738A">
        <w:t xml:space="preserve">  The Committee established that it was the Environment Agency who had deemed it unsuitable and the Committee considered that consideration should be given to making this clear in the development brief and that editing the document to remove the passive voice would make the Council’s logic and position clearer.</w:t>
      </w:r>
    </w:p>
    <w:p w14:paraId="2794E0F7" w14:textId="77777777" w:rsidR="0037738A" w:rsidRPr="00DA2517" w:rsidRDefault="0037738A" w:rsidP="00DA2517">
      <w:pPr>
        <w:rPr>
          <w:b/>
        </w:rPr>
      </w:pPr>
    </w:p>
    <w:p w14:paraId="3868CD33" w14:textId="70DCA2A3" w:rsidR="0037738A" w:rsidRPr="00091019" w:rsidRDefault="0037738A" w:rsidP="00DA2517">
      <w:pPr>
        <w:pStyle w:val="ListParagraph"/>
        <w:numPr>
          <w:ilvl w:val="0"/>
          <w:numId w:val="15"/>
        </w:numPr>
        <w:spacing w:after="0"/>
        <w:jc w:val="both"/>
        <w:rPr>
          <w:b/>
        </w:rPr>
      </w:pPr>
      <w:r>
        <w:t xml:space="preserve">The Committee also explored ways in which the forthcoming Oxford Flood Alleviation Scheme might impact in the future and that advice could change.  The Committee established that the development brief </w:t>
      </w:r>
      <w:r w:rsidR="005C3AC9">
        <w:t>stated</w:t>
      </w:r>
      <w:r>
        <w:t xml:space="preserve"> the position </w:t>
      </w:r>
      <w:r w:rsidR="008C2E61">
        <w:t>at the time of writing</w:t>
      </w:r>
      <w:r>
        <w:t xml:space="preserve"> and that there was the possibility of change in the future.</w:t>
      </w:r>
    </w:p>
    <w:p w14:paraId="6029C38E" w14:textId="7B57CF3E" w:rsidR="00091019" w:rsidRPr="00091019" w:rsidRDefault="00DD270C" w:rsidP="00B40248">
      <w:pPr>
        <w:ind w:left="360"/>
        <w:jc w:val="both"/>
        <w:rPr>
          <w:b/>
          <w:i/>
        </w:rPr>
      </w:pPr>
      <w:r>
        <w:rPr>
          <w:b/>
          <w:i/>
        </w:rPr>
        <w:br/>
      </w:r>
      <w:r w:rsidR="00091019" w:rsidRPr="00091019">
        <w:rPr>
          <w:b/>
          <w:i/>
        </w:rPr>
        <w:t xml:space="preserve">Recommendation 1: </w:t>
      </w:r>
      <w:r w:rsidR="0037738A">
        <w:rPr>
          <w:b/>
          <w:i/>
        </w:rPr>
        <w:t xml:space="preserve">That the Council should consider how to make clear where the deeming of unsuitability for residential provision has come from and should add text clarifying </w:t>
      </w:r>
      <w:r w:rsidR="008C2E61">
        <w:rPr>
          <w:b/>
          <w:i/>
        </w:rPr>
        <w:t>what bearing the actual effects of OFAS may have on future suitability for residential use</w:t>
      </w:r>
      <w:r w:rsidR="00091019" w:rsidRPr="00091019">
        <w:rPr>
          <w:b/>
          <w:i/>
        </w:rPr>
        <w:t>.</w:t>
      </w:r>
    </w:p>
    <w:p w14:paraId="5F5A4385" w14:textId="72B67D59" w:rsidR="00091019" w:rsidRPr="002C4BBD" w:rsidRDefault="0037738A" w:rsidP="00DA2517">
      <w:pPr>
        <w:pStyle w:val="ListParagraph"/>
        <w:numPr>
          <w:ilvl w:val="0"/>
          <w:numId w:val="15"/>
        </w:numPr>
        <w:jc w:val="both"/>
      </w:pPr>
      <w:r>
        <w:t xml:space="preserve">The Committee established that the boundary of the area under discussion </w:t>
      </w:r>
      <w:r w:rsidR="008C2E61">
        <w:t xml:space="preserve">did </w:t>
      </w:r>
      <w:r>
        <w:t>not include the car park on Earl Street</w:t>
      </w:r>
      <w:r w:rsidR="002D7A52">
        <w:t>.</w:t>
      </w:r>
      <w:r>
        <w:t xml:space="preserve">  The Committee considered that consideration should be given to making that explicit in the development brief.</w:t>
      </w:r>
      <w:r w:rsidR="002D7A52">
        <w:t xml:space="preserve"> </w:t>
      </w:r>
    </w:p>
    <w:p w14:paraId="5411FB68" w14:textId="3D05573A" w:rsidR="00091019" w:rsidRPr="00091019" w:rsidRDefault="00DD270C" w:rsidP="00B40248">
      <w:pPr>
        <w:ind w:left="360"/>
        <w:jc w:val="both"/>
        <w:rPr>
          <w:b/>
          <w:i/>
        </w:rPr>
      </w:pPr>
      <w:r>
        <w:rPr>
          <w:b/>
          <w:i/>
        </w:rPr>
        <w:br/>
      </w:r>
      <w:r w:rsidR="00091019" w:rsidRPr="00091019">
        <w:rPr>
          <w:b/>
          <w:i/>
        </w:rPr>
        <w:t xml:space="preserve">Recommendation 2: </w:t>
      </w:r>
      <w:r w:rsidR="0037738A">
        <w:rPr>
          <w:b/>
          <w:i/>
        </w:rPr>
        <w:t>That the Council should consider how to make clear that the Earl Street car park is not included within the boundary of the site</w:t>
      </w:r>
      <w:r w:rsidR="00091019" w:rsidRPr="00091019">
        <w:rPr>
          <w:b/>
          <w:i/>
        </w:rPr>
        <w:t>.</w:t>
      </w:r>
    </w:p>
    <w:p w14:paraId="50E6A729" w14:textId="77777777" w:rsidR="00080857" w:rsidRPr="00080857" w:rsidRDefault="00080857" w:rsidP="008D3951">
      <w:pPr>
        <w:pStyle w:val="ListParagraph"/>
        <w:numPr>
          <w:ilvl w:val="0"/>
          <w:numId w:val="0"/>
        </w:numPr>
        <w:spacing w:after="0"/>
        <w:ind w:left="360"/>
        <w:jc w:val="both"/>
        <w:rPr>
          <w:color w:val="auto"/>
        </w:rPr>
      </w:pPr>
    </w:p>
    <w:p w14:paraId="15A79098" w14:textId="77777777" w:rsidR="00C9393C" w:rsidRPr="00020B4E" w:rsidRDefault="00C9393C" w:rsidP="00F12194">
      <w:pPr>
        <w:pStyle w:val="ListParagraph"/>
        <w:numPr>
          <w:ilvl w:val="0"/>
          <w:numId w:val="0"/>
        </w:numPr>
        <w:tabs>
          <w:tab w:val="clear" w:pos="426"/>
          <w:tab w:val="left" w:pos="284"/>
        </w:tabs>
        <w:spacing w:after="0"/>
        <w:rPr>
          <w:rFonts w:eastAsia="Calibri"/>
          <w:b/>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A46E9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A46E98">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A46E9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A46E98">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A46E9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A46E98">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A46E9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C9393C">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A46E9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7753F6" w:rsidP="00091019">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93067A"/>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701A7"/>
    <w:multiLevelType w:val="hybridMultilevel"/>
    <w:tmpl w:val="C1CE7F58"/>
    <w:lvl w:ilvl="0" w:tplc="5C5E1CF2">
      <w:start w:val="1"/>
      <w:numFmt w:val="decimal"/>
      <w:lvlText w:val="%1."/>
      <w:lvlJc w:val="left"/>
      <w:pPr>
        <w:ind w:left="786" w:hanging="360"/>
      </w:pPr>
      <w:rPr>
        <w:rFonts w:ascii="Arial" w:hAnsi="Arial" w:cs="Times New Roman"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98365C6"/>
    <w:multiLevelType w:val="multilevel"/>
    <w:tmpl w:val="E67CE66C"/>
    <w:numStyleLink w:val="StyleNumberedLeft0cmHanging075cm"/>
  </w:abstractNum>
  <w:num w:numId="1">
    <w:abstractNumId w:val="0"/>
  </w:num>
  <w:num w:numId="2">
    <w:abstractNumId w:val="14"/>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8"/>
  </w:num>
  <w:num w:numId="7">
    <w:abstractNumId w:val="13"/>
  </w:num>
  <w:num w:numId="8">
    <w:abstractNumId w:val="11"/>
  </w:num>
  <w:num w:numId="9">
    <w:abstractNumId w:val="6"/>
  </w:num>
  <w:num w:numId="10">
    <w:abstractNumId w:val="7"/>
  </w:num>
  <w:num w:numId="11">
    <w:abstractNumId w:val="9"/>
  </w:num>
  <w:num w:numId="12">
    <w:abstractNumId w:val="2"/>
  </w:num>
  <w:num w:numId="13">
    <w:abstractNumId w:val="10"/>
  </w:num>
  <w:num w:numId="14">
    <w:abstractNumId w:val="4"/>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71A2"/>
    <w:rsid w:val="001808BC"/>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4C0B"/>
    <w:rsid w:val="0021759A"/>
    <w:rsid w:val="0022150D"/>
    <w:rsid w:val="00224030"/>
    <w:rsid w:val="00224946"/>
    <w:rsid w:val="002329CF"/>
    <w:rsid w:val="00232F5B"/>
    <w:rsid w:val="00237510"/>
    <w:rsid w:val="00237A21"/>
    <w:rsid w:val="00244F93"/>
    <w:rsid w:val="002459FB"/>
    <w:rsid w:val="002467E8"/>
    <w:rsid w:val="00247C29"/>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7250"/>
    <w:rsid w:val="0040736F"/>
    <w:rsid w:val="00410E3C"/>
    <w:rsid w:val="00411A8F"/>
    <w:rsid w:val="00412C1F"/>
    <w:rsid w:val="00414EC1"/>
    <w:rsid w:val="00420A68"/>
    <w:rsid w:val="00421CB2"/>
    <w:rsid w:val="00424B00"/>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F6C"/>
    <w:rsid w:val="005426C7"/>
    <w:rsid w:val="005446C4"/>
    <w:rsid w:val="0054712D"/>
    <w:rsid w:val="00547EF6"/>
    <w:rsid w:val="00556176"/>
    <w:rsid w:val="005570B5"/>
    <w:rsid w:val="00560EF6"/>
    <w:rsid w:val="00563BF1"/>
    <w:rsid w:val="00567E18"/>
    <w:rsid w:val="00571B03"/>
    <w:rsid w:val="00572A65"/>
    <w:rsid w:val="00575F5F"/>
    <w:rsid w:val="005761F5"/>
    <w:rsid w:val="00581805"/>
    <w:rsid w:val="005827F8"/>
    <w:rsid w:val="00585F76"/>
    <w:rsid w:val="005934E8"/>
    <w:rsid w:val="00593B72"/>
    <w:rsid w:val="005943D8"/>
    <w:rsid w:val="005A34E4"/>
    <w:rsid w:val="005A586F"/>
    <w:rsid w:val="005A6D4A"/>
    <w:rsid w:val="005B17F2"/>
    <w:rsid w:val="005B677C"/>
    <w:rsid w:val="005B7FB0"/>
    <w:rsid w:val="005C2DD8"/>
    <w:rsid w:val="005C35A5"/>
    <w:rsid w:val="005C3AC9"/>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17939"/>
    <w:rsid w:val="00725989"/>
    <w:rsid w:val="00727B92"/>
    <w:rsid w:val="007379B6"/>
    <w:rsid w:val="00737B93"/>
    <w:rsid w:val="007449F4"/>
    <w:rsid w:val="00745BF0"/>
    <w:rsid w:val="007513C8"/>
    <w:rsid w:val="007615FE"/>
    <w:rsid w:val="0076655C"/>
    <w:rsid w:val="00767F25"/>
    <w:rsid w:val="00770A31"/>
    <w:rsid w:val="007720EB"/>
    <w:rsid w:val="007742DC"/>
    <w:rsid w:val="007753F6"/>
    <w:rsid w:val="007812DE"/>
    <w:rsid w:val="0078156F"/>
    <w:rsid w:val="00783447"/>
    <w:rsid w:val="00784051"/>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93F"/>
    <w:rsid w:val="008B49EB"/>
    <w:rsid w:val="008B6E24"/>
    <w:rsid w:val="008B7371"/>
    <w:rsid w:val="008B7E45"/>
    <w:rsid w:val="008C1954"/>
    <w:rsid w:val="008C1CCF"/>
    <w:rsid w:val="008C2E61"/>
    <w:rsid w:val="008C4AB2"/>
    <w:rsid w:val="008D3951"/>
    <w:rsid w:val="008D3DDB"/>
    <w:rsid w:val="008D5BBE"/>
    <w:rsid w:val="008D7B7C"/>
    <w:rsid w:val="008E4D66"/>
    <w:rsid w:val="008E60F3"/>
    <w:rsid w:val="008E7F34"/>
    <w:rsid w:val="008F17D6"/>
    <w:rsid w:val="008F3A4D"/>
    <w:rsid w:val="008F573F"/>
    <w:rsid w:val="008F5B20"/>
    <w:rsid w:val="009034EC"/>
    <w:rsid w:val="00903762"/>
    <w:rsid w:val="00910E73"/>
    <w:rsid w:val="0091214A"/>
    <w:rsid w:val="00914A58"/>
    <w:rsid w:val="00921E62"/>
    <w:rsid w:val="0093067A"/>
    <w:rsid w:val="00941C60"/>
    <w:rsid w:val="00945466"/>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6352B"/>
    <w:rsid w:val="00A6366B"/>
    <w:rsid w:val="00A64CB8"/>
    <w:rsid w:val="00A66F87"/>
    <w:rsid w:val="00A701B5"/>
    <w:rsid w:val="00A714BB"/>
    <w:rsid w:val="00A76186"/>
    <w:rsid w:val="00A86ADB"/>
    <w:rsid w:val="00A90B49"/>
    <w:rsid w:val="00A92D8F"/>
    <w:rsid w:val="00AA0EBB"/>
    <w:rsid w:val="00AB2988"/>
    <w:rsid w:val="00AB4257"/>
    <w:rsid w:val="00AB7999"/>
    <w:rsid w:val="00AC71D8"/>
    <w:rsid w:val="00AD3292"/>
    <w:rsid w:val="00AE194D"/>
    <w:rsid w:val="00AE5257"/>
    <w:rsid w:val="00AE792C"/>
    <w:rsid w:val="00AE7AF0"/>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100D"/>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B1D8-8A04-4159-A9F0-E3C16AC6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3288</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4</cp:revision>
  <cp:lastPrinted>2019-04-10T11:07:00Z</cp:lastPrinted>
  <dcterms:created xsi:type="dcterms:W3CDTF">2022-10-13T08:34:00Z</dcterms:created>
  <dcterms:modified xsi:type="dcterms:W3CDTF">2022-10-17T14:41:00Z</dcterms:modified>
</cp:coreProperties>
</file>